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8C8" w:rsidRDefault="004918C8" w:rsidP="004918C8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2020</w:t>
      </w:r>
      <w:r>
        <w:rPr>
          <w:rFonts w:eastAsia="黑体" w:hint="eastAsia"/>
          <w:sz w:val="32"/>
          <w:szCs w:val="32"/>
        </w:rPr>
        <w:t>年</w:t>
      </w:r>
      <w:r>
        <w:rPr>
          <w:rFonts w:eastAsia="黑体"/>
          <w:sz w:val="32"/>
          <w:szCs w:val="32"/>
        </w:rPr>
        <w:t>硕士研究生入学考试大纲</w:t>
      </w:r>
    </w:p>
    <w:p w:rsidR="004918C8" w:rsidRDefault="004918C8" w:rsidP="004918C8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考试科目名称：</w:t>
      </w:r>
      <w:r w:rsidR="00E936EF">
        <w:rPr>
          <w:rFonts w:ascii="方正书宋简体" w:eastAsia="方正书宋简体" w:hint="eastAsia"/>
          <w:sz w:val="24"/>
        </w:rPr>
        <w:t>泛函分析</w:t>
      </w:r>
      <w:r w:rsidR="00171556">
        <w:rPr>
          <w:rFonts w:ascii="方正书宋简体" w:eastAsia="方正书宋简体" w:hint="eastAsia"/>
          <w:sz w:val="24"/>
        </w:rPr>
        <w:t>初步</w:t>
      </w:r>
      <w:bookmarkStart w:id="0" w:name="_GoBack"/>
      <w:bookmarkEnd w:id="0"/>
      <w:r>
        <w:rPr>
          <w:rFonts w:ascii="方正书宋简体" w:eastAsia="方正书宋简体" w:hint="eastAsia"/>
          <w:sz w:val="24"/>
        </w:rPr>
        <w:t xml:space="preserve">          考试时间：</w:t>
      </w:r>
      <w:r>
        <w:rPr>
          <w:rFonts w:ascii="方正书宋简体" w:eastAsia="方正书宋简体"/>
          <w:sz w:val="24"/>
        </w:rPr>
        <w:t>6</w:t>
      </w:r>
      <w:r>
        <w:rPr>
          <w:rFonts w:ascii="方正书宋简体" w:eastAsia="方正书宋简体" w:hint="eastAsia"/>
          <w:sz w:val="24"/>
        </w:rPr>
        <w:t>0分钟，满分：5</w:t>
      </w:r>
      <w:r>
        <w:rPr>
          <w:rFonts w:ascii="方正书宋简体" w:eastAsia="方正书宋简体"/>
          <w:sz w:val="24"/>
        </w:rPr>
        <w:t>0</w:t>
      </w:r>
      <w:r>
        <w:rPr>
          <w:rFonts w:ascii="方正书宋简体" w:eastAsia="方正书宋简体" w:hint="eastAsia"/>
          <w:sz w:val="24"/>
        </w:rPr>
        <w:t>分</w:t>
      </w:r>
    </w:p>
    <w:p w:rsidR="00E3303F" w:rsidRPr="00B529CE" w:rsidRDefault="004918C8" w:rsidP="00E3303F">
      <w:pPr>
        <w:numPr>
          <w:ilvl w:val="0"/>
          <w:numId w:val="1"/>
        </w:numPr>
        <w:spacing w:line="500" w:lineRule="exact"/>
        <w:rPr>
          <w:rFonts w:ascii="宋体" w:hAnsi="宋体"/>
          <w:b/>
          <w:bCs/>
        </w:rPr>
      </w:pPr>
      <w:r>
        <w:rPr>
          <w:rFonts w:ascii="方正书宋简体" w:eastAsia="方正书宋简体" w:hint="eastAsia"/>
          <w:sz w:val="24"/>
        </w:rPr>
        <w:t>考试要求：</w:t>
      </w:r>
      <w:r w:rsidR="00E3303F">
        <w:t xml:space="preserve"> </w:t>
      </w:r>
    </w:p>
    <w:p w:rsidR="00B529CE" w:rsidRPr="00E3303F" w:rsidRDefault="00B529CE" w:rsidP="00B529CE">
      <w:pPr>
        <w:spacing w:line="500" w:lineRule="exact"/>
        <w:ind w:firstLineChars="200" w:firstLine="420"/>
        <w:rPr>
          <w:rFonts w:ascii="宋体" w:hAnsi="宋体"/>
          <w:b/>
          <w:bCs/>
        </w:rPr>
      </w:pPr>
      <w:r w:rsidRPr="006D7E5B">
        <w:rPr>
          <w:color w:val="000000"/>
          <w:kern w:val="0"/>
          <w:szCs w:val="21"/>
        </w:rPr>
        <w:t>理解距离空间、赋范空间和</w:t>
      </w:r>
      <w:r w:rsidRPr="006D7E5B">
        <w:rPr>
          <w:szCs w:val="21"/>
        </w:rPr>
        <w:t>巴拿赫空间</w:t>
      </w:r>
      <w:r w:rsidRPr="006D7E5B">
        <w:rPr>
          <w:color w:val="000000"/>
          <w:kern w:val="0"/>
          <w:szCs w:val="21"/>
        </w:rPr>
        <w:t>的概念。掌握</w:t>
      </w:r>
      <w:r w:rsidRPr="006D7E5B">
        <w:rPr>
          <w:szCs w:val="21"/>
        </w:rPr>
        <w:t>巴拿赫</w:t>
      </w:r>
      <w:r w:rsidRPr="006D7E5B">
        <w:rPr>
          <w:color w:val="000000"/>
          <w:kern w:val="0"/>
          <w:szCs w:val="21"/>
        </w:rPr>
        <w:t>空间的基本性质、线性算子和线性泛函的基本知识；掌握开映射定理、闭图象定理、共鸣定理和</w:t>
      </w:r>
      <w:r w:rsidRPr="006D7E5B">
        <w:rPr>
          <w:szCs w:val="21"/>
        </w:rPr>
        <w:t>哈恩</w:t>
      </w:r>
      <w:r w:rsidRPr="006D7E5B">
        <w:rPr>
          <w:szCs w:val="21"/>
        </w:rPr>
        <w:t>-</w:t>
      </w:r>
      <w:r w:rsidRPr="006D7E5B">
        <w:rPr>
          <w:szCs w:val="21"/>
        </w:rPr>
        <w:t>巴拿赫定理</w:t>
      </w:r>
      <w:r w:rsidRPr="006D7E5B">
        <w:rPr>
          <w:color w:val="000000"/>
          <w:kern w:val="0"/>
          <w:szCs w:val="21"/>
        </w:rPr>
        <w:t>；理解</w:t>
      </w:r>
      <w:r w:rsidRPr="006D7E5B">
        <w:rPr>
          <w:szCs w:val="21"/>
        </w:rPr>
        <w:t>对偶空间</w:t>
      </w:r>
      <w:r w:rsidRPr="006D7E5B">
        <w:rPr>
          <w:color w:val="000000"/>
          <w:kern w:val="0"/>
          <w:szCs w:val="21"/>
        </w:rPr>
        <w:t>、自反空间和紧算子等概念。掌握</w:t>
      </w:r>
      <w:r w:rsidRPr="006D7E5B">
        <w:rPr>
          <w:szCs w:val="21"/>
        </w:rPr>
        <w:t>希尔伯特</w:t>
      </w:r>
      <w:r w:rsidRPr="006D7E5B">
        <w:rPr>
          <w:color w:val="000000"/>
          <w:kern w:val="0"/>
          <w:szCs w:val="21"/>
        </w:rPr>
        <w:t>空间的基本性质、</w:t>
      </w:r>
      <w:r w:rsidRPr="006D7E5B">
        <w:rPr>
          <w:szCs w:val="21"/>
        </w:rPr>
        <w:t>希尔伯特</w:t>
      </w:r>
      <w:r w:rsidRPr="006D7E5B">
        <w:rPr>
          <w:color w:val="000000"/>
          <w:kern w:val="0"/>
          <w:szCs w:val="21"/>
        </w:rPr>
        <w:t>空间正交化方法、投影定理及其应用。</w:t>
      </w:r>
    </w:p>
    <w:p w:rsidR="00E3303F" w:rsidRDefault="00E3303F" w:rsidP="00E3303F">
      <w:pPr>
        <w:spacing w:line="500" w:lineRule="exac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1.</w:t>
      </w:r>
      <w:r w:rsidR="004D73A7">
        <w:rPr>
          <w:rFonts w:ascii="宋体" w:hAnsi="宋体" w:hint="eastAsia"/>
          <w:b/>
          <w:bCs/>
        </w:rPr>
        <w:t>距离空间</w:t>
      </w:r>
      <w:r>
        <w:rPr>
          <w:rFonts w:ascii="宋体" w:hAnsi="宋体" w:hint="eastAsia"/>
          <w:b/>
          <w:bCs/>
        </w:rPr>
        <w:t>：</w:t>
      </w:r>
    </w:p>
    <w:p w:rsidR="00E3303F" w:rsidRDefault="00E3303F" w:rsidP="00E3303F">
      <w:pPr>
        <w:adjustRightInd w:val="0"/>
        <w:snapToGrid w:val="0"/>
        <w:spacing w:line="300" w:lineRule="auto"/>
        <w:ind w:firstLineChars="350" w:firstLine="735"/>
        <w:rPr>
          <w:rFonts w:ascii="宋体" w:hAnsi="宋体"/>
          <w:szCs w:val="28"/>
        </w:rPr>
      </w:pPr>
      <w:r w:rsidRPr="00D8784C">
        <w:rPr>
          <w:rFonts w:ascii="宋体" w:hAnsi="宋体"/>
        </w:rPr>
        <w:t>(1)</w:t>
      </w:r>
      <w:r>
        <w:rPr>
          <w:rFonts w:ascii="宋体" w:hAnsi="宋体"/>
        </w:rPr>
        <w:t xml:space="preserve"> </w:t>
      </w:r>
      <w:r w:rsidR="00CB53E8">
        <w:rPr>
          <w:rFonts w:hint="eastAsia"/>
        </w:rPr>
        <w:t>理解</w:t>
      </w:r>
      <w:r w:rsidR="004D73A7">
        <w:rPr>
          <w:rFonts w:hint="eastAsia"/>
        </w:rPr>
        <w:t>距离空间</w:t>
      </w:r>
      <w:r w:rsidR="00CB53E8">
        <w:rPr>
          <w:rFonts w:hint="eastAsia"/>
        </w:rPr>
        <w:t>的</w:t>
      </w:r>
      <w:r>
        <w:t>基本概念</w:t>
      </w:r>
      <w:r w:rsidR="004D73A7">
        <w:t>及性质</w:t>
      </w:r>
      <w:r>
        <w:rPr>
          <w:rFonts w:hint="eastAsia"/>
        </w:rPr>
        <w:t>；</w:t>
      </w:r>
    </w:p>
    <w:p w:rsidR="00E3303F" w:rsidRDefault="00E3303F" w:rsidP="00E3303F">
      <w:pPr>
        <w:adjustRightInd w:val="0"/>
        <w:snapToGrid w:val="0"/>
        <w:spacing w:line="300" w:lineRule="auto"/>
        <w:ind w:firstLineChars="350" w:firstLine="735"/>
        <w:rPr>
          <w:rFonts w:ascii="宋体" w:hAnsi="宋体"/>
          <w:szCs w:val="28"/>
        </w:rPr>
      </w:pPr>
      <w:r w:rsidRPr="00D8784C">
        <w:rPr>
          <w:rFonts w:ascii="宋体" w:hAnsi="宋体"/>
        </w:rPr>
        <w:t>(</w:t>
      </w:r>
      <w:r>
        <w:rPr>
          <w:rFonts w:ascii="宋体" w:hAnsi="宋体"/>
        </w:rPr>
        <w:t>2</w:t>
      </w:r>
      <w:r w:rsidRPr="00D8784C">
        <w:rPr>
          <w:rFonts w:ascii="宋体" w:hAnsi="宋体"/>
        </w:rPr>
        <w:t>)</w:t>
      </w:r>
      <w:r w:rsidR="006934C6">
        <w:rPr>
          <w:rFonts w:ascii="宋体" w:hAnsi="宋体"/>
        </w:rPr>
        <w:t xml:space="preserve"> </w:t>
      </w:r>
      <w:r>
        <w:t>理解</w:t>
      </w:r>
      <w:r w:rsidR="00B529CE" w:rsidRPr="006D7E5B">
        <w:rPr>
          <w:szCs w:val="21"/>
        </w:rPr>
        <w:t>距离空间中的点集及其上的映射</w:t>
      </w:r>
      <w:r w:rsidR="00B529CE">
        <w:rPr>
          <w:szCs w:val="21"/>
        </w:rPr>
        <w:t>的概念</w:t>
      </w:r>
      <w:r>
        <w:rPr>
          <w:rFonts w:hint="eastAsia"/>
        </w:rPr>
        <w:t>；</w:t>
      </w:r>
    </w:p>
    <w:p w:rsidR="006934C6" w:rsidRDefault="00E3303F" w:rsidP="006934C6">
      <w:pPr>
        <w:adjustRightInd w:val="0"/>
        <w:snapToGrid w:val="0"/>
        <w:spacing w:line="300" w:lineRule="auto"/>
        <w:ind w:firstLineChars="350" w:firstLine="735"/>
        <w:rPr>
          <w:rFonts w:ascii="宋体" w:hAnsi="宋体"/>
          <w:szCs w:val="28"/>
        </w:rPr>
      </w:pPr>
      <w:r w:rsidRPr="00D8784C">
        <w:rPr>
          <w:rFonts w:ascii="宋体" w:hAnsi="宋体"/>
        </w:rPr>
        <w:t>(</w:t>
      </w:r>
      <w:r>
        <w:rPr>
          <w:rFonts w:ascii="宋体" w:hAnsi="宋体"/>
        </w:rPr>
        <w:t>3</w:t>
      </w:r>
      <w:r w:rsidRPr="00D8784C">
        <w:rPr>
          <w:rFonts w:ascii="宋体" w:hAnsi="宋体"/>
        </w:rPr>
        <w:t>)</w:t>
      </w:r>
      <w:r w:rsidR="00CB53E8">
        <w:rPr>
          <w:rFonts w:ascii="宋体" w:hAnsi="宋体"/>
        </w:rPr>
        <w:t xml:space="preserve"> </w:t>
      </w:r>
      <w:r w:rsidR="00A60E30">
        <w:rPr>
          <w:rFonts w:ascii="宋体" w:hAnsi="宋体"/>
        </w:rPr>
        <w:t>理解距离空间</w:t>
      </w:r>
      <w:r w:rsidR="006934C6" w:rsidRPr="006D7E5B">
        <w:rPr>
          <w:szCs w:val="21"/>
        </w:rPr>
        <w:t>完备性</w:t>
      </w:r>
      <w:r w:rsidR="00A60E30">
        <w:rPr>
          <w:szCs w:val="21"/>
        </w:rPr>
        <w:t>的过程</w:t>
      </w:r>
      <w:r w:rsidR="006934C6" w:rsidRPr="006D7E5B">
        <w:rPr>
          <w:szCs w:val="21"/>
        </w:rPr>
        <w:t>，</w:t>
      </w:r>
      <w:r w:rsidR="00A60E30">
        <w:rPr>
          <w:szCs w:val="21"/>
        </w:rPr>
        <w:t>掌握</w:t>
      </w:r>
      <w:r w:rsidR="006934C6" w:rsidRPr="006D7E5B">
        <w:rPr>
          <w:szCs w:val="21"/>
        </w:rPr>
        <w:t>集合的类型</w:t>
      </w:r>
      <w:r w:rsidR="00A60E30">
        <w:rPr>
          <w:rFonts w:hint="eastAsia"/>
          <w:szCs w:val="21"/>
        </w:rPr>
        <w:t>；</w:t>
      </w:r>
    </w:p>
    <w:p w:rsidR="006934C6" w:rsidRDefault="006934C6" w:rsidP="006934C6">
      <w:pPr>
        <w:adjustRightInd w:val="0"/>
        <w:snapToGrid w:val="0"/>
        <w:spacing w:line="300" w:lineRule="auto"/>
        <w:ind w:firstLineChars="350" w:firstLine="735"/>
        <w:rPr>
          <w:szCs w:val="21"/>
        </w:rPr>
      </w:pPr>
      <w:r>
        <w:rPr>
          <w:rFonts w:ascii="宋体" w:hAnsi="宋体" w:hint="eastAsia"/>
        </w:rPr>
        <w:t>(</w:t>
      </w:r>
      <w:r>
        <w:rPr>
          <w:rFonts w:ascii="宋体" w:hAnsi="宋体"/>
        </w:rPr>
        <w:t xml:space="preserve">4) </w:t>
      </w:r>
      <w:r w:rsidR="00A60E30">
        <w:rPr>
          <w:rFonts w:ascii="宋体" w:hAnsi="宋体"/>
        </w:rPr>
        <w:t>理解</w:t>
      </w:r>
      <w:r w:rsidRPr="006D7E5B">
        <w:rPr>
          <w:szCs w:val="21"/>
        </w:rPr>
        <w:t>准紧集及紧集</w:t>
      </w:r>
      <w:r w:rsidR="00A60E30">
        <w:rPr>
          <w:szCs w:val="21"/>
        </w:rPr>
        <w:t>的概念</w:t>
      </w:r>
      <w:r w:rsidR="00A60E30">
        <w:rPr>
          <w:rFonts w:hint="eastAsia"/>
          <w:szCs w:val="21"/>
        </w:rPr>
        <w:t>；</w:t>
      </w:r>
    </w:p>
    <w:p w:rsidR="00E3303F" w:rsidRPr="006934C6" w:rsidRDefault="006934C6" w:rsidP="006934C6">
      <w:pPr>
        <w:adjustRightInd w:val="0"/>
        <w:snapToGrid w:val="0"/>
        <w:spacing w:line="300" w:lineRule="auto"/>
        <w:ind w:firstLineChars="350" w:firstLine="735"/>
        <w:rPr>
          <w:rFonts w:ascii="宋体" w:hAnsi="宋体"/>
          <w:szCs w:val="28"/>
        </w:rPr>
      </w:pPr>
      <w:r w:rsidRPr="006934C6">
        <w:rPr>
          <w:rFonts w:asciiTheme="minorEastAsia" w:hAnsiTheme="minorEastAsia" w:hint="eastAsia"/>
          <w:szCs w:val="21"/>
        </w:rPr>
        <w:t>(</w:t>
      </w:r>
      <w:r w:rsidRPr="006934C6">
        <w:rPr>
          <w:rFonts w:asciiTheme="minorEastAsia" w:hAnsiTheme="minorEastAsia"/>
          <w:szCs w:val="21"/>
        </w:rPr>
        <w:t>5)</w:t>
      </w:r>
      <w:r>
        <w:rPr>
          <w:szCs w:val="21"/>
        </w:rPr>
        <w:t xml:space="preserve"> </w:t>
      </w:r>
      <w:r w:rsidR="00A60E30">
        <w:rPr>
          <w:szCs w:val="21"/>
        </w:rPr>
        <w:t>掌握</w:t>
      </w:r>
      <w:r w:rsidRPr="006D7E5B">
        <w:rPr>
          <w:szCs w:val="21"/>
        </w:rPr>
        <w:t>不动点定理</w:t>
      </w:r>
      <w:r w:rsidR="00A60E30">
        <w:rPr>
          <w:szCs w:val="21"/>
        </w:rPr>
        <w:t>并会应用</w:t>
      </w:r>
      <w:r w:rsidR="00A60E30">
        <w:rPr>
          <w:rFonts w:hint="eastAsia"/>
          <w:szCs w:val="21"/>
        </w:rPr>
        <w:t>。</w:t>
      </w:r>
    </w:p>
    <w:p w:rsidR="00E3303F" w:rsidRDefault="00E3303F" w:rsidP="00E3303F">
      <w:pPr>
        <w:adjustRightInd w:val="0"/>
        <w:snapToGrid w:val="0"/>
        <w:spacing w:line="30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2.</w:t>
      </w:r>
      <w:r w:rsidR="004D73A7">
        <w:rPr>
          <w:rFonts w:ascii="宋体" w:hAnsi="宋体" w:hint="eastAsia"/>
          <w:b/>
          <w:bCs/>
        </w:rPr>
        <w:t>巴拿赫空间与希尔伯特空间</w:t>
      </w:r>
      <w:r>
        <w:rPr>
          <w:rFonts w:ascii="宋体" w:hAnsi="宋体" w:hint="eastAsia"/>
          <w:b/>
          <w:bCs/>
        </w:rPr>
        <w:t>：</w:t>
      </w:r>
    </w:p>
    <w:p w:rsidR="00E3303F" w:rsidRPr="007E6D59" w:rsidRDefault="007E6D59" w:rsidP="007E6D59">
      <w:pPr>
        <w:adjustRightInd w:val="0"/>
        <w:snapToGrid w:val="0"/>
        <w:spacing w:line="300" w:lineRule="auto"/>
        <w:ind w:left="84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(1)</w:t>
      </w:r>
      <w:r w:rsidR="00A60E30">
        <w:rPr>
          <w:rFonts w:ascii="宋体" w:hAnsi="宋体"/>
          <w:szCs w:val="28"/>
        </w:rPr>
        <w:t xml:space="preserve"> </w:t>
      </w:r>
      <w:r w:rsidR="00A60E30">
        <w:rPr>
          <w:rFonts w:ascii="宋体" w:hAnsi="宋体" w:hint="eastAsia"/>
          <w:szCs w:val="28"/>
        </w:rPr>
        <w:t>理解</w:t>
      </w:r>
      <w:r w:rsidR="006934C6" w:rsidRPr="006D7E5B">
        <w:rPr>
          <w:szCs w:val="21"/>
        </w:rPr>
        <w:t>巴拿赫空间</w:t>
      </w:r>
      <w:r w:rsidR="00A60E30">
        <w:rPr>
          <w:szCs w:val="21"/>
        </w:rPr>
        <w:t>相关的概念</w:t>
      </w:r>
      <w:r w:rsidR="00E3303F" w:rsidRPr="007E6D59">
        <w:rPr>
          <w:rFonts w:ascii="宋体" w:hAnsi="宋体" w:hint="eastAsia"/>
          <w:szCs w:val="28"/>
        </w:rPr>
        <w:t>；</w:t>
      </w:r>
    </w:p>
    <w:p w:rsidR="00E3303F" w:rsidRDefault="00A50B16" w:rsidP="00A50B16">
      <w:pPr>
        <w:adjustRightInd w:val="0"/>
        <w:snapToGrid w:val="0"/>
        <w:spacing w:line="300" w:lineRule="auto"/>
        <w:ind w:left="420" w:firstLine="420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 xml:space="preserve">(2) </w:t>
      </w:r>
      <w:r w:rsidR="00A60E30">
        <w:rPr>
          <w:rFonts w:ascii="宋体" w:hAnsi="宋体"/>
          <w:szCs w:val="28"/>
        </w:rPr>
        <w:t>理解</w:t>
      </w:r>
      <w:r w:rsidR="006934C6" w:rsidRPr="006D7E5B">
        <w:rPr>
          <w:szCs w:val="21"/>
        </w:rPr>
        <w:t>希尔伯特空间</w:t>
      </w:r>
      <w:r w:rsidR="00A60E30">
        <w:rPr>
          <w:szCs w:val="21"/>
        </w:rPr>
        <w:t>的概念</w:t>
      </w:r>
      <w:r w:rsidR="00E3303F">
        <w:rPr>
          <w:rFonts w:ascii="宋体" w:hAnsi="宋体" w:hint="eastAsia"/>
          <w:szCs w:val="28"/>
        </w:rPr>
        <w:t>；</w:t>
      </w:r>
    </w:p>
    <w:p w:rsidR="00E3303F" w:rsidRDefault="00A50B16" w:rsidP="00A50B16">
      <w:pPr>
        <w:adjustRightInd w:val="0"/>
        <w:snapToGrid w:val="0"/>
        <w:spacing w:line="300" w:lineRule="auto"/>
        <w:ind w:left="420" w:firstLine="420"/>
        <w:rPr>
          <w:rFonts w:ascii="仿宋_GB2312" w:eastAsia="仿宋_GB2312"/>
          <w:sz w:val="28"/>
          <w:szCs w:val="28"/>
        </w:rPr>
      </w:pPr>
      <w:r>
        <w:rPr>
          <w:rFonts w:ascii="宋体" w:hAnsi="宋体"/>
          <w:szCs w:val="28"/>
        </w:rPr>
        <w:t xml:space="preserve">(3) </w:t>
      </w:r>
      <w:r w:rsidR="00A60E30">
        <w:rPr>
          <w:rFonts w:ascii="宋体" w:hAnsi="宋体"/>
          <w:szCs w:val="28"/>
        </w:rPr>
        <w:t>理解</w:t>
      </w:r>
      <w:r w:rsidR="006934C6" w:rsidRPr="006D7E5B">
        <w:rPr>
          <w:szCs w:val="21"/>
        </w:rPr>
        <w:t>希尔伯特空间中的正交系</w:t>
      </w:r>
      <w:r w:rsidR="00A60E30">
        <w:rPr>
          <w:rFonts w:hint="eastAsia"/>
          <w:szCs w:val="21"/>
        </w:rPr>
        <w:t>，</w:t>
      </w:r>
      <w:r w:rsidR="00A60E30">
        <w:rPr>
          <w:szCs w:val="21"/>
        </w:rPr>
        <w:t>会用</w:t>
      </w:r>
      <w:r w:rsidR="00A60E30" w:rsidRPr="006D7E5B">
        <w:rPr>
          <w:szCs w:val="21"/>
        </w:rPr>
        <w:t>施密特正交化定理</w:t>
      </w:r>
      <w:r w:rsidR="00E3303F">
        <w:rPr>
          <w:rFonts w:ascii="宋体" w:hAnsi="宋体" w:hint="eastAsia"/>
          <w:szCs w:val="28"/>
        </w:rPr>
        <w:t>。</w:t>
      </w:r>
    </w:p>
    <w:p w:rsidR="00E3303F" w:rsidRDefault="00E3303F" w:rsidP="00E3303F">
      <w:pPr>
        <w:adjustRightInd w:val="0"/>
        <w:snapToGrid w:val="0"/>
        <w:spacing w:line="300" w:lineRule="auto"/>
        <w:ind w:left="316" w:hangingChars="150" w:hanging="316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3.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B529CE">
        <w:rPr>
          <w:rFonts w:ascii="宋体" w:hint="eastAsia"/>
          <w:b/>
          <w:bCs/>
          <w:szCs w:val="28"/>
        </w:rPr>
        <w:t>巴拿赫空间上的有界线性算子</w:t>
      </w:r>
      <w:r>
        <w:rPr>
          <w:rFonts w:ascii="宋体" w:hAnsi="宋体" w:hint="eastAsia"/>
          <w:b/>
          <w:bCs/>
        </w:rPr>
        <w:t>：</w:t>
      </w:r>
    </w:p>
    <w:p w:rsidR="00E3303F" w:rsidRPr="00D8784C" w:rsidRDefault="00E3303F" w:rsidP="00E3303F">
      <w:pPr>
        <w:adjustRightInd w:val="0"/>
        <w:snapToGrid w:val="0"/>
        <w:spacing w:line="300" w:lineRule="auto"/>
        <w:ind w:firstLineChars="350" w:firstLine="735"/>
        <w:rPr>
          <w:rFonts w:ascii="宋体" w:hAnsi="宋体"/>
        </w:rPr>
      </w:pPr>
      <w:r>
        <w:rPr>
          <w:rFonts w:ascii="宋体" w:hAnsi="宋体" w:hint="eastAsia"/>
        </w:rPr>
        <w:t>(1)</w:t>
      </w:r>
      <w:r w:rsidR="00F07AD9">
        <w:rPr>
          <w:rFonts w:ascii="宋体" w:hAnsi="宋体"/>
        </w:rPr>
        <w:t xml:space="preserve"> </w:t>
      </w:r>
      <w:r w:rsidR="00A60E30">
        <w:rPr>
          <w:rFonts w:ascii="宋体" w:hAnsi="宋体"/>
        </w:rPr>
        <w:t>理解</w:t>
      </w:r>
      <w:r w:rsidR="006934C6" w:rsidRPr="006D7E5B">
        <w:rPr>
          <w:szCs w:val="21"/>
        </w:rPr>
        <w:t>有界线性算子</w:t>
      </w:r>
      <w:r w:rsidR="00A60E30">
        <w:rPr>
          <w:szCs w:val="21"/>
        </w:rPr>
        <w:t>的概念</w:t>
      </w:r>
      <w:r w:rsidRPr="00D8784C">
        <w:rPr>
          <w:rFonts w:ascii="宋体" w:hAnsi="宋体" w:hint="eastAsia"/>
        </w:rPr>
        <w:t>；</w:t>
      </w:r>
    </w:p>
    <w:p w:rsidR="00E3303F" w:rsidRPr="00D8784C" w:rsidRDefault="00E3303F" w:rsidP="00E3303F">
      <w:pPr>
        <w:adjustRightInd w:val="0"/>
        <w:snapToGrid w:val="0"/>
        <w:spacing w:line="300" w:lineRule="auto"/>
        <w:ind w:firstLineChars="350" w:firstLine="735"/>
        <w:rPr>
          <w:rFonts w:ascii="宋体" w:hAnsi="宋体"/>
        </w:rPr>
      </w:pPr>
      <w:r>
        <w:rPr>
          <w:rFonts w:ascii="宋体" w:hAnsi="宋体" w:hint="eastAsia"/>
        </w:rPr>
        <w:t>(2)</w:t>
      </w:r>
      <w:r w:rsidR="00F07AD9">
        <w:rPr>
          <w:rFonts w:ascii="宋体" w:hAnsi="宋体"/>
        </w:rPr>
        <w:t xml:space="preserve"> </w:t>
      </w:r>
      <w:r w:rsidR="00A60E30">
        <w:rPr>
          <w:rFonts w:ascii="宋体" w:hAnsi="宋体"/>
        </w:rPr>
        <w:t>掌握</w:t>
      </w:r>
      <w:r w:rsidR="006934C6" w:rsidRPr="006D7E5B">
        <w:rPr>
          <w:szCs w:val="21"/>
        </w:rPr>
        <w:t>巴拿赫开映射定理，闭图像定理</w:t>
      </w:r>
      <w:r w:rsidRPr="00D8784C">
        <w:rPr>
          <w:rFonts w:ascii="宋体" w:hAnsi="宋体" w:hint="eastAsia"/>
        </w:rPr>
        <w:t>；</w:t>
      </w:r>
    </w:p>
    <w:p w:rsidR="00E3303F" w:rsidRPr="00D8784C" w:rsidRDefault="00E3303F" w:rsidP="00E3303F">
      <w:pPr>
        <w:adjustRightInd w:val="0"/>
        <w:snapToGrid w:val="0"/>
        <w:spacing w:line="300" w:lineRule="auto"/>
        <w:ind w:firstLineChars="350" w:firstLine="735"/>
        <w:rPr>
          <w:rFonts w:ascii="宋体" w:hAnsi="宋体"/>
        </w:rPr>
      </w:pPr>
      <w:r>
        <w:rPr>
          <w:rFonts w:ascii="宋体" w:hAnsi="宋体" w:hint="eastAsia"/>
        </w:rPr>
        <w:t>(3)</w:t>
      </w:r>
      <w:r w:rsidR="00F07AD9">
        <w:rPr>
          <w:rFonts w:ascii="宋体" w:hAnsi="宋体"/>
        </w:rPr>
        <w:t xml:space="preserve"> </w:t>
      </w:r>
      <w:r w:rsidR="00A60E30">
        <w:rPr>
          <w:rFonts w:ascii="宋体" w:hAnsi="宋体"/>
        </w:rPr>
        <w:t>掌握</w:t>
      </w:r>
      <w:r w:rsidR="006934C6" w:rsidRPr="006D7E5B">
        <w:rPr>
          <w:szCs w:val="21"/>
        </w:rPr>
        <w:t>共鸣定理及其应用</w:t>
      </w:r>
      <w:r w:rsidRPr="00D8784C">
        <w:rPr>
          <w:rFonts w:ascii="宋体" w:hAnsi="宋体" w:hint="eastAsia"/>
        </w:rPr>
        <w:t>；</w:t>
      </w:r>
    </w:p>
    <w:p w:rsidR="00E3303F" w:rsidRDefault="00E3303F" w:rsidP="00E3303F">
      <w:pPr>
        <w:adjustRightInd w:val="0"/>
        <w:snapToGrid w:val="0"/>
        <w:spacing w:line="300" w:lineRule="auto"/>
        <w:ind w:firstLineChars="350" w:firstLine="735"/>
        <w:rPr>
          <w:rFonts w:ascii="宋体" w:hAnsi="宋体"/>
          <w:szCs w:val="28"/>
        </w:rPr>
      </w:pPr>
      <w:r>
        <w:rPr>
          <w:rFonts w:ascii="宋体" w:hAnsi="宋体" w:hint="eastAsia"/>
        </w:rPr>
        <w:t>(4)</w:t>
      </w:r>
      <w:r w:rsidR="00F07AD9">
        <w:rPr>
          <w:rFonts w:ascii="宋体" w:hAnsi="宋体"/>
        </w:rPr>
        <w:t xml:space="preserve"> </w:t>
      </w:r>
      <w:r w:rsidR="00A60E30">
        <w:rPr>
          <w:rFonts w:ascii="宋体" w:hAnsi="宋体"/>
        </w:rPr>
        <w:t>理解</w:t>
      </w:r>
      <w:r w:rsidR="006934C6" w:rsidRPr="006D7E5B">
        <w:rPr>
          <w:szCs w:val="21"/>
        </w:rPr>
        <w:t>有界线性泛函</w:t>
      </w:r>
      <w:r w:rsidR="00A60E30">
        <w:rPr>
          <w:szCs w:val="21"/>
        </w:rPr>
        <w:t>的概念</w:t>
      </w:r>
      <w:r w:rsidR="00A60E30">
        <w:rPr>
          <w:rFonts w:hint="eastAsia"/>
          <w:szCs w:val="21"/>
        </w:rPr>
        <w:t>；</w:t>
      </w:r>
    </w:p>
    <w:p w:rsidR="006934C6" w:rsidRDefault="006934C6" w:rsidP="00E3303F">
      <w:pPr>
        <w:adjustRightInd w:val="0"/>
        <w:snapToGrid w:val="0"/>
        <w:spacing w:line="300" w:lineRule="auto"/>
        <w:ind w:firstLineChars="350" w:firstLine="735"/>
        <w:rPr>
          <w:szCs w:val="21"/>
        </w:rPr>
      </w:pPr>
      <w:r>
        <w:rPr>
          <w:rFonts w:ascii="宋体" w:hAnsi="宋体"/>
          <w:szCs w:val="28"/>
        </w:rPr>
        <w:t xml:space="preserve">(5) </w:t>
      </w:r>
      <w:r w:rsidR="00A60E30">
        <w:rPr>
          <w:rFonts w:ascii="宋体" w:hAnsi="宋体"/>
          <w:szCs w:val="28"/>
        </w:rPr>
        <w:t>理解</w:t>
      </w:r>
      <w:r w:rsidRPr="006D7E5B">
        <w:rPr>
          <w:szCs w:val="21"/>
        </w:rPr>
        <w:t>对偶空间，伴随算子</w:t>
      </w:r>
      <w:r w:rsidR="00A60E30">
        <w:rPr>
          <w:szCs w:val="21"/>
        </w:rPr>
        <w:t>的概念</w:t>
      </w:r>
      <w:r w:rsidR="00A60E30">
        <w:rPr>
          <w:rFonts w:hint="eastAsia"/>
          <w:szCs w:val="21"/>
        </w:rPr>
        <w:t>；</w:t>
      </w:r>
    </w:p>
    <w:p w:rsidR="006934C6" w:rsidRDefault="006934C6" w:rsidP="00E3303F">
      <w:pPr>
        <w:adjustRightInd w:val="0"/>
        <w:snapToGrid w:val="0"/>
        <w:spacing w:line="300" w:lineRule="auto"/>
        <w:ind w:firstLineChars="350" w:firstLine="735"/>
        <w:rPr>
          <w:rFonts w:ascii="仿宋_GB2312" w:eastAsia="仿宋_GB2312"/>
          <w:sz w:val="28"/>
          <w:szCs w:val="28"/>
        </w:rPr>
      </w:pPr>
      <w:r w:rsidRPr="006934C6">
        <w:rPr>
          <w:rFonts w:ascii="宋体" w:hAnsi="宋体"/>
        </w:rPr>
        <w:t>(6) 有界线性算子的谱与</w:t>
      </w:r>
      <w:r w:rsidRPr="006D7E5B">
        <w:rPr>
          <w:szCs w:val="21"/>
        </w:rPr>
        <w:t>紧算子</w:t>
      </w:r>
      <w:r w:rsidR="00320418">
        <w:rPr>
          <w:rFonts w:hint="eastAsia"/>
          <w:szCs w:val="21"/>
        </w:rPr>
        <w:t>。</w:t>
      </w:r>
    </w:p>
    <w:p w:rsidR="00E3303F" w:rsidRDefault="00E3303F" w:rsidP="00E3303F">
      <w:pPr>
        <w:adjustRightInd w:val="0"/>
        <w:snapToGrid w:val="0"/>
        <w:spacing w:line="30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4.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B529CE">
        <w:rPr>
          <w:rFonts w:ascii="宋体" w:hint="eastAsia"/>
          <w:b/>
          <w:bCs/>
          <w:szCs w:val="28"/>
        </w:rPr>
        <w:t>希尔伯特空间上的有界线性算子</w:t>
      </w:r>
      <w:r>
        <w:rPr>
          <w:rFonts w:ascii="宋体" w:hAnsi="宋体" w:hint="eastAsia"/>
          <w:b/>
          <w:bCs/>
        </w:rPr>
        <w:t>：</w:t>
      </w:r>
    </w:p>
    <w:p w:rsidR="00E3303F" w:rsidRDefault="00E3303F" w:rsidP="00E3303F">
      <w:pPr>
        <w:adjustRightInd w:val="0"/>
        <w:snapToGrid w:val="0"/>
        <w:spacing w:line="300" w:lineRule="auto"/>
        <w:ind w:left="709"/>
        <w:rPr>
          <w:rFonts w:ascii="宋体"/>
          <w:szCs w:val="28"/>
        </w:rPr>
      </w:pPr>
      <w:r>
        <w:rPr>
          <w:rFonts w:ascii="宋体" w:hAnsi="宋体" w:hint="eastAsia"/>
        </w:rPr>
        <w:t>(1)</w:t>
      </w:r>
      <w:r w:rsidR="00F07AD9">
        <w:rPr>
          <w:rFonts w:ascii="宋体" w:hAnsi="宋体"/>
        </w:rPr>
        <w:t xml:space="preserve"> </w:t>
      </w:r>
      <w:r w:rsidR="00320418">
        <w:rPr>
          <w:rFonts w:ascii="宋体" w:hAnsi="宋体"/>
        </w:rPr>
        <w:t>掌握</w:t>
      </w:r>
      <w:r w:rsidR="006934C6" w:rsidRPr="006D7E5B">
        <w:rPr>
          <w:szCs w:val="21"/>
        </w:rPr>
        <w:t>希尔伯特空间的对偶空间与伴随算子</w:t>
      </w:r>
      <w:r>
        <w:rPr>
          <w:rFonts w:ascii="宋体" w:hint="eastAsia"/>
          <w:szCs w:val="28"/>
        </w:rPr>
        <w:t>；</w:t>
      </w:r>
    </w:p>
    <w:p w:rsidR="00E3303F" w:rsidRDefault="00E3303F" w:rsidP="00E3303F">
      <w:pPr>
        <w:adjustRightInd w:val="0"/>
        <w:snapToGrid w:val="0"/>
        <w:spacing w:line="300" w:lineRule="auto"/>
        <w:ind w:left="709"/>
        <w:rPr>
          <w:rFonts w:ascii="宋体"/>
          <w:szCs w:val="28"/>
        </w:rPr>
      </w:pPr>
      <w:r>
        <w:rPr>
          <w:rFonts w:ascii="宋体" w:hint="eastAsia"/>
          <w:szCs w:val="28"/>
        </w:rPr>
        <w:t>(2)</w:t>
      </w:r>
      <w:r w:rsidR="00F07AD9">
        <w:rPr>
          <w:rFonts w:ascii="宋体"/>
          <w:szCs w:val="28"/>
        </w:rPr>
        <w:t xml:space="preserve"> </w:t>
      </w:r>
      <w:r w:rsidR="00320418">
        <w:rPr>
          <w:rFonts w:ascii="宋体"/>
          <w:szCs w:val="28"/>
        </w:rPr>
        <w:t>掌握</w:t>
      </w:r>
      <w:r w:rsidR="006934C6" w:rsidRPr="006D7E5B">
        <w:rPr>
          <w:szCs w:val="21"/>
        </w:rPr>
        <w:t>自伴算子的基本性质</w:t>
      </w:r>
      <w:r w:rsidR="00320418">
        <w:rPr>
          <w:rFonts w:hint="eastAsia"/>
          <w:szCs w:val="21"/>
        </w:rPr>
        <w:t>。</w:t>
      </w:r>
    </w:p>
    <w:p w:rsidR="002863B5" w:rsidRPr="002863B5" w:rsidRDefault="00E3303F" w:rsidP="002863B5">
      <w:pPr>
        <w:numPr>
          <w:ilvl w:val="0"/>
          <w:numId w:val="1"/>
        </w:numPr>
        <w:spacing w:beforeLines="50" w:before="156" w:afterLines="50" w:after="156" w:line="360" w:lineRule="auto"/>
        <w:ind w:left="482" w:hanging="482"/>
        <w:rPr>
          <w:rFonts w:ascii="宋体" w:hAnsi="宋体"/>
          <w:b/>
          <w:bCs/>
        </w:rPr>
      </w:pPr>
      <w:r>
        <w:rPr>
          <w:rFonts w:ascii="宋体" w:hint="eastAsia"/>
          <w:b/>
          <w:sz w:val="24"/>
        </w:rPr>
        <w:t>考试内容</w:t>
      </w:r>
      <w:r>
        <w:rPr>
          <w:rFonts w:ascii="宋体" w:hint="eastAsia"/>
          <w:sz w:val="24"/>
        </w:rPr>
        <w:t>：</w:t>
      </w:r>
    </w:p>
    <w:p w:rsidR="00366A53" w:rsidRDefault="00366A53" w:rsidP="002863B5">
      <w:pPr>
        <w:spacing w:beforeLines="50" w:before="156" w:afterLines="50" w:after="156"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1.</w:t>
      </w:r>
      <w:r w:rsidR="00B529CE" w:rsidRPr="00B529CE">
        <w:rPr>
          <w:rFonts w:ascii="宋体" w:hAnsi="宋体" w:hint="eastAsia"/>
          <w:b/>
          <w:bCs/>
        </w:rPr>
        <w:t xml:space="preserve"> </w:t>
      </w:r>
      <w:r w:rsidR="00B529CE">
        <w:rPr>
          <w:rFonts w:ascii="宋体" w:hAnsi="宋体" w:hint="eastAsia"/>
          <w:b/>
          <w:bCs/>
        </w:rPr>
        <w:t>距离空间</w:t>
      </w:r>
      <w:r>
        <w:rPr>
          <w:rFonts w:ascii="宋体" w:hAnsi="宋体" w:hint="eastAsia"/>
          <w:b/>
          <w:bCs/>
        </w:rPr>
        <w:t>：</w:t>
      </w:r>
    </w:p>
    <w:p w:rsidR="00366A53" w:rsidRDefault="00366A53" w:rsidP="00366A53">
      <w:pPr>
        <w:adjustRightInd w:val="0"/>
        <w:snapToGrid w:val="0"/>
        <w:spacing w:line="300" w:lineRule="auto"/>
        <w:ind w:firstLineChars="350" w:firstLine="735"/>
        <w:rPr>
          <w:rFonts w:ascii="宋体" w:hAnsi="宋体"/>
          <w:szCs w:val="28"/>
        </w:rPr>
      </w:pPr>
      <w:r w:rsidRPr="00D8784C">
        <w:rPr>
          <w:rFonts w:ascii="宋体" w:hAnsi="宋体"/>
        </w:rPr>
        <w:t>(1)</w:t>
      </w:r>
      <w:r>
        <w:rPr>
          <w:rFonts w:ascii="宋体" w:hAnsi="宋体"/>
        </w:rPr>
        <w:t xml:space="preserve"> </w:t>
      </w:r>
      <w:r w:rsidR="006934C6" w:rsidRPr="006D7E5B">
        <w:rPr>
          <w:szCs w:val="21"/>
        </w:rPr>
        <w:t>距离空间的定义及例，距离空间中的收敛及其性质</w:t>
      </w:r>
      <w:r w:rsidR="006934C6">
        <w:rPr>
          <w:rFonts w:hint="eastAsia"/>
          <w:szCs w:val="21"/>
        </w:rPr>
        <w:t>；</w:t>
      </w:r>
    </w:p>
    <w:p w:rsidR="00366A53" w:rsidRDefault="00366A53" w:rsidP="00366A53">
      <w:pPr>
        <w:adjustRightInd w:val="0"/>
        <w:snapToGrid w:val="0"/>
        <w:spacing w:line="300" w:lineRule="auto"/>
        <w:ind w:firstLineChars="350" w:firstLine="735"/>
        <w:rPr>
          <w:rFonts w:ascii="宋体" w:hAnsi="宋体"/>
          <w:szCs w:val="28"/>
        </w:rPr>
      </w:pPr>
      <w:r w:rsidRPr="00D8784C">
        <w:rPr>
          <w:rFonts w:ascii="宋体" w:hAnsi="宋体"/>
        </w:rPr>
        <w:t>(</w:t>
      </w:r>
      <w:r>
        <w:rPr>
          <w:rFonts w:ascii="宋体" w:hAnsi="宋体"/>
        </w:rPr>
        <w:t>2</w:t>
      </w:r>
      <w:r w:rsidRPr="00D8784C">
        <w:rPr>
          <w:rFonts w:ascii="宋体" w:hAnsi="宋体"/>
        </w:rPr>
        <w:t>)</w:t>
      </w:r>
      <w:r w:rsidR="006934C6" w:rsidRPr="006934C6">
        <w:rPr>
          <w:szCs w:val="21"/>
        </w:rPr>
        <w:t xml:space="preserve"> </w:t>
      </w:r>
      <w:r w:rsidR="006934C6" w:rsidRPr="006D7E5B">
        <w:rPr>
          <w:szCs w:val="21"/>
        </w:rPr>
        <w:t>几类特殊的点集，稠密性与可分性；同胚，等距</w:t>
      </w:r>
      <w:r>
        <w:rPr>
          <w:rFonts w:hint="eastAsia"/>
        </w:rPr>
        <w:t>；</w:t>
      </w:r>
    </w:p>
    <w:p w:rsidR="00366A53" w:rsidRDefault="00366A53" w:rsidP="00366A53">
      <w:pPr>
        <w:adjustRightInd w:val="0"/>
        <w:snapToGrid w:val="0"/>
        <w:spacing w:line="300" w:lineRule="auto"/>
        <w:ind w:firstLineChars="350" w:firstLine="735"/>
        <w:rPr>
          <w:szCs w:val="21"/>
        </w:rPr>
      </w:pPr>
      <w:r w:rsidRPr="00D8784C">
        <w:rPr>
          <w:rFonts w:ascii="宋体" w:hAnsi="宋体"/>
        </w:rPr>
        <w:t>(</w:t>
      </w:r>
      <w:r>
        <w:rPr>
          <w:rFonts w:ascii="宋体" w:hAnsi="宋体"/>
        </w:rPr>
        <w:t>3</w:t>
      </w:r>
      <w:r w:rsidRPr="00D8784C">
        <w:rPr>
          <w:rFonts w:ascii="宋体" w:hAnsi="宋体"/>
        </w:rPr>
        <w:t>)</w:t>
      </w:r>
      <w:r>
        <w:rPr>
          <w:rFonts w:ascii="宋体" w:hAnsi="宋体"/>
        </w:rPr>
        <w:t xml:space="preserve"> </w:t>
      </w:r>
      <w:r w:rsidR="006934C6" w:rsidRPr="006D7E5B">
        <w:rPr>
          <w:szCs w:val="21"/>
        </w:rPr>
        <w:t>完备距离空间；第一及第二类型的集</w:t>
      </w:r>
      <w:r w:rsidR="00320418">
        <w:rPr>
          <w:rFonts w:hint="eastAsia"/>
          <w:szCs w:val="21"/>
        </w:rPr>
        <w:t>；</w:t>
      </w:r>
    </w:p>
    <w:p w:rsidR="00320418" w:rsidRDefault="00B529CE" w:rsidP="00B529CE">
      <w:pPr>
        <w:adjustRightInd w:val="0"/>
        <w:snapToGrid w:val="0"/>
        <w:spacing w:line="300" w:lineRule="auto"/>
        <w:ind w:firstLineChars="350" w:firstLine="735"/>
        <w:rPr>
          <w:szCs w:val="21"/>
        </w:rPr>
      </w:pPr>
      <w:r w:rsidRPr="00B529CE">
        <w:rPr>
          <w:rFonts w:ascii="宋体" w:hAnsi="宋体"/>
        </w:rPr>
        <w:t>(4)</w:t>
      </w:r>
      <w:r w:rsidR="006934C6" w:rsidRPr="006934C6">
        <w:rPr>
          <w:szCs w:val="21"/>
        </w:rPr>
        <w:t xml:space="preserve"> </w:t>
      </w:r>
      <w:r w:rsidR="006934C6" w:rsidRPr="006D7E5B">
        <w:rPr>
          <w:szCs w:val="21"/>
        </w:rPr>
        <w:t>准紧集，紧集，全有界集；紧集上的连续映射</w:t>
      </w:r>
      <w:r w:rsidR="00320418">
        <w:rPr>
          <w:rFonts w:hint="eastAsia"/>
          <w:szCs w:val="21"/>
        </w:rPr>
        <w:t>；</w:t>
      </w:r>
    </w:p>
    <w:p w:rsidR="006934C6" w:rsidRPr="00B529CE" w:rsidRDefault="006934C6" w:rsidP="00320418">
      <w:pPr>
        <w:adjustRightInd w:val="0"/>
        <w:snapToGrid w:val="0"/>
        <w:spacing w:line="300" w:lineRule="auto"/>
        <w:ind w:firstLineChars="350" w:firstLine="735"/>
        <w:rPr>
          <w:rFonts w:ascii="宋体" w:hAnsi="宋体"/>
        </w:rPr>
      </w:pPr>
      <w:r w:rsidRPr="00320418">
        <w:rPr>
          <w:rFonts w:ascii="宋体" w:hAnsi="宋体"/>
        </w:rPr>
        <w:t>(5) 压缩映射，不动点</w:t>
      </w:r>
      <w:r w:rsidRPr="006D7E5B">
        <w:rPr>
          <w:szCs w:val="21"/>
        </w:rPr>
        <w:t>定理及应用</w:t>
      </w:r>
      <w:r>
        <w:rPr>
          <w:rFonts w:hint="eastAsia"/>
          <w:szCs w:val="21"/>
        </w:rPr>
        <w:t>。</w:t>
      </w:r>
    </w:p>
    <w:p w:rsidR="00366A53" w:rsidRDefault="00366A53" w:rsidP="00366A53">
      <w:pPr>
        <w:adjustRightInd w:val="0"/>
        <w:snapToGrid w:val="0"/>
        <w:spacing w:line="30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2.</w:t>
      </w:r>
      <w:r w:rsidR="00B529CE" w:rsidRPr="00B529CE">
        <w:rPr>
          <w:rFonts w:ascii="宋体" w:hAnsi="宋体" w:hint="eastAsia"/>
          <w:b/>
          <w:bCs/>
        </w:rPr>
        <w:t xml:space="preserve"> </w:t>
      </w:r>
      <w:r w:rsidR="00B529CE">
        <w:rPr>
          <w:rFonts w:ascii="宋体" w:hAnsi="宋体" w:hint="eastAsia"/>
          <w:b/>
          <w:bCs/>
        </w:rPr>
        <w:t>巴拿赫空间与希尔伯特空间</w:t>
      </w:r>
      <w:r>
        <w:rPr>
          <w:rFonts w:ascii="宋体" w:hAnsi="宋体" w:hint="eastAsia"/>
          <w:b/>
          <w:bCs/>
        </w:rPr>
        <w:t>：</w:t>
      </w:r>
    </w:p>
    <w:p w:rsidR="006934C6" w:rsidRDefault="00366A53" w:rsidP="006934C6">
      <w:pPr>
        <w:ind w:firstLine="420"/>
        <w:rPr>
          <w:szCs w:val="21"/>
        </w:rPr>
      </w:pPr>
      <w:r>
        <w:rPr>
          <w:rFonts w:ascii="宋体" w:hAnsi="宋体" w:hint="eastAsia"/>
          <w:szCs w:val="28"/>
        </w:rPr>
        <w:lastRenderedPageBreak/>
        <w:t xml:space="preserve">(1) </w:t>
      </w:r>
      <w:r w:rsidR="006934C6" w:rsidRPr="006D7E5B">
        <w:rPr>
          <w:color w:val="000000"/>
          <w:kern w:val="0"/>
          <w:szCs w:val="21"/>
        </w:rPr>
        <w:t>赋范线性空间，</w:t>
      </w:r>
      <w:r w:rsidR="006934C6" w:rsidRPr="006D7E5B">
        <w:rPr>
          <w:szCs w:val="21"/>
        </w:rPr>
        <w:t>巴拿赫空间；商空间</w:t>
      </w:r>
      <w:r w:rsidR="00320418">
        <w:rPr>
          <w:rFonts w:hint="eastAsia"/>
          <w:szCs w:val="21"/>
        </w:rPr>
        <w:t>；</w:t>
      </w:r>
    </w:p>
    <w:p w:rsidR="00366A53" w:rsidRDefault="00366A53" w:rsidP="006934C6">
      <w:pPr>
        <w:ind w:firstLine="420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(2)</w:t>
      </w:r>
      <w:r w:rsidR="003B55DB">
        <w:rPr>
          <w:rFonts w:ascii="宋体" w:hAnsi="宋体"/>
          <w:szCs w:val="28"/>
        </w:rPr>
        <w:t xml:space="preserve"> </w:t>
      </w:r>
      <w:r w:rsidR="006934C6" w:rsidRPr="006D7E5B">
        <w:rPr>
          <w:szCs w:val="21"/>
        </w:rPr>
        <w:t>内积空间，极化恒等式，希尔伯特空间</w:t>
      </w:r>
      <w:r>
        <w:rPr>
          <w:rFonts w:ascii="宋体" w:hAnsi="宋体" w:hint="eastAsia"/>
          <w:szCs w:val="28"/>
        </w:rPr>
        <w:t>；</w:t>
      </w:r>
    </w:p>
    <w:p w:rsidR="00366A53" w:rsidRDefault="00366A53" w:rsidP="006934C6">
      <w:pPr>
        <w:adjustRightInd w:val="0"/>
        <w:snapToGrid w:val="0"/>
        <w:spacing w:line="300" w:lineRule="auto"/>
        <w:ind w:firstLineChars="200" w:firstLine="420"/>
        <w:rPr>
          <w:rFonts w:ascii="宋体" w:hAnsi="宋体"/>
          <w:szCs w:val="28"/>
        </w:rPr>
      </w:pPr>
      <w:r w:rsidRPr="006934C6">
        <w:rPr>
          <w:rFonts w:ascii="宋体" w:hAnsi="宋体"/>
        </w:rPr>
        <w:t xml:space="preserve">(3) </w:t>
      </w:r>
      <w:r w:rsidR="006934C6" w:rsidRPr="006934C6">
        <w:rPr>
          <w:rFonts w:ascii="宋体" w:hAnsi="宋体"/>
        </w:rPr>
        <w:t>正交</w:t>
      </w:r>
      <w:r w:rsidR="006934C6" w:rsidRPr="006D7E5B">
        <w:rPr>
          <w:szCs w:val="21"/>
        </w:rPr>
        <w:t>与正交分解，规范正交系；施密特正交化定理</w:t>
      </w:r>
      <w:r>
        <w:rPr>
          <w:rFonts w:ascii="宋体" w:hAnsi="宋体" w:hint="eastAsia"/>
          <w:szCs w:val="28"/>
        </w:rPr>
        <w:t>。</w:t>
      </w:r>
    </w:p>
    <w:p w:rsidR="00366A53" w:rsidRDefault="00366A53" w:rsidP="00366A53">
      <w:pPr>
        <w:adjustRightInd w:val="0"/>
        <w:snapToGrid w:val="0"/>
        <w:spacing w:line="300" w:lineRule="auto"/>
        <w:ind w:left="316" w:hangingChars="150" w:hanging="316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3.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B529CE">
        <w:rPr>
          <w:rFonts w:ascii="宋体" w:hint="eastAsia"/>
          <w:b/>
          <w:bCs/>
          <w:szCs w:val="28"/>
        </w:rPr>
        <w:t>巴拿赫空间上的有界线性算子</w:t>
      </w:r>
      <w:r>
        <w:rPr>
          <w:rFonts w:ascii="宋体" w:hAnsi="宋体" w:hint="eastAsia"/>
          <w:b/>
          <w:bCs/>
        </w:rPr>
        <w:t>：</w:t>
      </w:r>
    </w:p>
    <w:p w:rsidR="00366A53" w:rsidRPr="00D8784C" w:rsidRDefault="00366A53" w:rsidP="00366A53">
      <w:pPr>
        <w:adjustRightInd w:val="0"/>
        <w:snapToGrid w:val="0"/>
        <w:spacing w:line="300" w:lineRule="auto"/>
        <w:ind w:firstLineChars="350" w:firstLine="735"/>
        <w:rPr>
          <w:rFonts w:ascii="宋体" w:hAnsi="宋体"/>
        </w:rPr>
      </w:pPr>
      <w:r>
        <w:rPr>
          <w:rFonts w:ascii="宋体" w:hAnsi="宋体" w:hint="eastAsia"/>
        </w:rPr>
        <w:t>(1)</w:t>
      </w:r>
      <w:r>
        <w:rPr>
          <w:rFonts w:ascii="宋体" w:hAnsi="宋体"/>
        </w:rPr>
        <w:t xml:space="preserve"> </w:t>
      </w:r>
      <w:r w:rsidR="006934C6" w:rsidRPr="006D7E5B">
        <w:rPr>
          <w:szCs w:val="21"/>
        </w:rPr>
        <w:t>有界线性算子的概念与性质，线性算子空间，算子的乘法</w:t>
      </w:r>
      <w:r w:rsidRPr="00D8784C">
        <w:rPr>
          <w:rFonts w:ascii="宋体" w:hAnsi="宋体" w:hint="eastAsia"/>
        </w:rPr>
        <w:t>；</w:t>
      </w:r>
    </w:p>
    <w:p w:rsidR="00366A53" w:rsidRPr="00D8784C" w:rsidRDefault="00366A53" w:rsidP="00366A53">
      <w:pPr>
        <w:adjustRightInd w:val="0"/>
        <w:snapToGrid w:val="0"/>
        <w:spacing w:line="300" w:lineRule="auto"/>
        <w:ind w:firstLineChars="350" w:firstLine="735"/>
        <w:rPr>
          <w:rFonts w:ascii="宋体" w:hAnsi="宋体"/>
        </w:rPr>
      </w:pPr>
      <w:r>
        <w:rPr>
          <w:rFonts w:ascii="宋体" w:hAnsi="宋体" w:hint="eastAsia"/>
        </w:rPr>
        <w:t>(2)</w:t>
      </w:r>
      <w:r w:rsidR="003B55DB">
        <w:rPr>
          <w:rFonts w:ascii="宋体" w:hAnsi="宋体"/>
        </w:rPr>
        <w:t xml:space="preserve"> </w:t>
      </w:r>
      <w:r w:rsidR="006934C6" w:rsidRPr="006D7E5B">
        <w:rPr>
          <w:szCs w:val="21"/>
        </w:rPr>
        <w:t>开映射定理，逆算子定理，闭图像定理</w:t>
      </w:r>
      <w:r w:rsidRPr="00D8784C">
        <w:rPr>
          <w:rFonts w:ascii="宋体" w:hAnsi="宋体" w:hint="eastAsia"/>
        </w:rPr>
        <w:t>；</w:t>
      </w:r>
    </w:p>
    <w:p w:rsidR="00366A53" w:rsidRPr="00D8784C" w:rsidRDefault="00366A53" w:rsidP="00366A53">
      <w:pPr>
        <w:adjustRightInd w:val="0"/>
        <w:snapToGrid w:val="0"/>
        <w:spacing w:line="300" w:lineRule="auto"/>
        <w:ind w:firstLineChars="350" w:firstLine="735"/>
        <w:rPr>
          <w:rFonts w:ascii="宋体" w:hAnsi="宋体"/>
        </w:rPr>
      </w:pPr>
      <w:r>
        <w:rPr>
          <w:rFonts w:ascii="宋体" w:hAnsi="宋体" w:hint="eastAsia"/>
        </w:rPr>
        <w:t>(3)</w:t>
      </w:r>
      <w:r>
        <w:rPr>
          <w:rFonts w:ascii="宋体" w:hAnsi="宋体"/>
        </w:rPr>
        <w:t xml:space="preserve"> </w:t>
      </w:r>
      <w:r w:rsidR="006934C6" w:rsidRPr="006D7E5B">
        <w:rPr>
          <w:szCs w:val="21"/>
        </w:rPr>
        <w:t>共鸣定理，傅里叶级数的发散问题</w:t>
      </w:r>
      <w:r w:rsidRPr="00D8784C">
        <w:rPr>
          <w:rFonts w:ascii="宋体" w:hAnsi="宋体" w:hint="eastAsia"/>
        </w:rPr>
        <w:t>；</w:t>
      </w:r>
    </w:p>
    <w:p w:rsidR="00366A53" w:rsidRDefault="00366A53" w:rsidP="00366A53">
      <w:pPr>
        <w:adjustRightInd w:val="0"/>
        <w:snapToGrid w:val="0"/>
        <w:spacing w:line="300" w:lineRule="auto"/>
        <w:ind w:firstLineChars="350" w:firstLine="735"/>
        <w:rPr>
          <w:szCs w:val="21"/>
        </w:rPr>
      </w:pPr>
      <w:r>
        <w:rPr>
          <w:rFonts w:ascii="宋体" w:hAnsi="宋体" w:hint="eastAsia"/>
        </w:rPr>
        <w:t>(4)</w:t>
      </w:r>
      <w:r>
        <w:rPr>
          <w:rFonts w:ascii="宋体" w:hAnsi="宋体"/>
        </w:rPr>
        <w:t xml:space="preserve"> </w:t>
      </w:r>
      <w:r w:rsidR="006934C6" w:rsidRPr="006D7E5B">
        <w:rPr>
          <w:szCs w:val="21"/>
        </w:rPr>
        <w:t>有界线性泛函的延拓，哈恩</w:t>
      </w:r>
      <w:r w:rsidR="006934C6" w:rsidRPr="006D7E5B">
        <w:rPr>
          <w:szCs w:val="21"/>
        </w:rPr>
        <w:t>-</w:t>
      </w:r>
      <w:r w:rsidR="006934C6" w:rsidRPr="006D7E5B">
        <w:rPr>
          <w:szCs w:val="21"/>
        </w:rPr>
        <w:t>巴拿赫定理</w:t>
      </w:r>
      <w:r w:rsidR="00320418">
        <w:rPr>
          <w:rFonts w:hint="eastAsia"/>
          <w:szCs w:val="21"/>
        </w:rPr>
        <w:t>；</w:t>
      </w:r>
    </w:p>
    <w:p w:rsidR="006934C6" w:rsidRPr="006934C6" w:rsidRDefault="006934C6" w:rsidP="00366A53">
      <w:pPr>
        <w:adjustRightInd w:val="0"/>
        <w:snapToGrid w:val="0"/>
        <w:spacing w:line="300" w:lineRule="auto"/>
        <w:ind w:firstLineChars="350" w:firstLine="735"/>
        <w:rPr>
          <w:rFonts w:ascii="宋体" w:hAnsi="宋体"/>
        </w:rPr>
      </w:pPr>
      <w:r w:rsidRPr="006934C6">
        <w:rPr>
          <w:rFonts w:ascii="宋体" w:hAnsi="宋体" w:hint="eastAsia"/>
        </w:rPr>
        <w:t>(</w:t>
      </w:r>
      <w:r w:rsidRPr="006934C6">
        <w:rPr>
          <w:rFonts w:ascii="宋体" w:hAnsi="宋体"/>
        </w:rPr>
        <w:t>5) 对偶空间，自反空间，伴随算子</w:t>
      </w:r>
      <w:r w:rsidR="00320418">
        <w:rPr>
          <w:rFonts w:ascii="宋体" w:hAnsi="宋体" w:hint="eastAsia"/>
        </w:rPr>
        <w:t>；</w:t>
      </w:r>
    </w:p>
    <w:p w:rsidR="00B529CE" w:rsidRPr="006934C6" w:rsidRDefault="006934C6" w:rsidP="006934C6">
      <w:pPr>
        <w:adjustRightInd w:val="0"/>
        <w:snapToGrid w:val="0"/>
        <w:spacing w:line="300" w:lineRule="auto"/>
        <w:ind w:firstLineChars="350" w:firstLine="735"/>
        <w:rPr>
          <w:rFonts w:ascii="宋体" w:hAnsi="宋体"/>
          <w:szCs w:val="28"/>
        </w:rPr>
      </w:pPr>
      <w:r w:rsidRPr="006934C6">
        <w:rPr>
          <w:rFonts w:ascii="宋体" w:hAnsi="宋体" w:hint="eastAsia"/>
        </w:rPr>
        <w:t>(</w:t>
      </w:r>
      <w:r w:rsidRPr="006934C6">
        <w:rPr>
          <w:rFonts w:ascii="宋体" w:hAnsi="宋体"/>
        </w:rPr>
        <w:t>6) 有界</w:t>
      </w:r>
      <w:r w:rsidRPr="006D7E5B">
        <w:rPr>
          <w:szCs w:val="21"/>
        </w:rPr>
        <w:t>线性算子谱的基本性质；紧算子，有限秩算子</w:t>
      </w:r>
      <w:r w:rsidR="00320418">
        <w:rPr>
          <w:rFonts w:hint="eastAsia"/>
          <w:szCs w:val="21"/>
        </w:rPr>
        <w:t>。</w:t>
      </w:r>
    </w:p>
    <w:p w:rsidR="00366A53" w:rsidRDefault="00366A53" w:rsidP="00366A53">
      <w:pPr>
        <w:adjustRightInd w:val="0"/>
        <w:snapToGrid w:val="0"/>
        <w:spacing w:line="30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4.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B529CE">
        <w:rPr>
          <w:rFonts w:ascii="宋体" w:hint="eastAsia"/>
          <w:b/>
          <w:bCs/>
          <w:szCs w:val="28"/>
        </w:rPr>
        <w:t>希尔伯特空间上的有界线性算子</w:t>
      </w:r>
      <w:r>
        <w:rPr>
          <w:rFonts w:ascii="宋体" w:hAnsi="宋体" w:hint="eastAsia"/>
          <w:b/>
          <w:bCs/>
        </w:rPr>
        <w:t>：</w:t>
      </w:r>
    </w:p>
    <w:p w:rsidR="00366A53" w:rsidRDefault="00366A53" w:rsidP="00366A53">
      <w:pPr>
        <w:adjustRightInd w:val="0"/>
        <w:snapToGrid w:val="0"/>
        <w:spacing w:line="300" w:lineRule="auto"/>
        <w:ind w:left="709"/>
        <w:rPr>
          <w:rFonts w:ascii="宋体"/>
          <w:szCs w:val="28"/>
        </w:rPr>
      </w:pPr>
      <w:r>
        <w:rPr>
          <w:rFonts w:ascii="宋体" w:hAnsi="宋体" w:hint="eastAsia"/>
        </w:rPr>
        <w:t>(1)</w:t>
      </w:r>
      <w:r>
        <w:rPr>
          <w:rFonts w:ascii="宋体" w:hAnsi="宋体"/>
        </w:rPr>
        <w:t xml:space="preserve"> </w:t>
      </w:r>
      <w:r w:rsidR="006934C6" w:rsidRPr="006D7E5B">
        <w:rPr>
          <w:szCs w:val="21"/>
        </w:rPr>
        <w:t>希尔伯特空间上的有界线性算子，对偶空间，伴随算子</w:t>
      </w:r>
      <w:r>
        <w:rPr>
          <w:rFonts w:ascii="宋体" w:hint="eastAsia"/>
          <w:szCs w:val="28"/>
        </w:rPr>
        <w:t>；</w:t>
      </w:r>
    </w:p>
    <w:p w:rsidR="00366A53" w:rsidRDefault="00366A53" w:rsidP="00366A53">
      <w:pPr>
        <w:adjustRightInd w:val="0"/>
        <w:snapToGrid w:val="0"/>
        <w:spacing w:line="300" w:lineRule="auto"/>
        <w:ind w:left="709"/>
        <w:rPr>
          <w:rFonts w:ascii="宋体"/>
          <w:szCs w:val="28"/>
        </w:rPr>
      </w:pPr>
      <w:r>
        <w:rPr>
          <w:rFonts w:ascii="宋体" w:hint="eastAsia"/>
          <w:szCs w:val="28"/>
        </w:rPr>
        <w:t>(2)</w:t>
      </w:r>
      <w:r>
        <w:rPr>
          <w:rFonts w:ascii="宋体"/>
          <w:szCs w:val="28"/>
        </w:rPr>
        <w:t xml:space="preserve"> </w:t>
      </w:r>
      <w:r w:rsidR="006934C6" w:rsidRPr="006D7E5B">
        <w:rPr>
          <w:szCs w:val="21"/>
        </w:rPr>
        <w:t>自伴算子，正算子，单调自伴算子列</w:t>
      </w:r>
      <w:r w:rsidR="00320418">
        <w:rPr>
          <w:rFonts w:ascii="宋体" w:hint="eastAsia"/>
          <w:szCs w:val="28"/>
        </w:rPr>
        <w:t>。</w:t>
      </w:r>
    </w:p>
    <w:p w:rsidR="00956CA7" w:rsidRDefault="00956CA7" w:rsidP="00E3303F">
      <w:pPr>
        <w:spacing w:line="360" w:lineRule="auto"/>
        <w:rPr>
          <w:rFonts w:ascii="宋体" w:hAnsi="宋体"/>
          <w:b/>
          <w:sz w:val="24"/>
        </w:rPr>
      </w:pPr>
    </w:p>
    <w:p w:rsidR="00E3303F" w:rsidRDefault="00E3303F" w:rsidP="00E3303F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三、参考书目</w:t>
      </w:r>
    </w:p>
    <w:p w:rsidR="004D73A7" w:rsidRPr="004D73A7" w:rsidRDefault="004D73A7" w:rsidP="004D73A7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4D73A7">
        <w:rPr>
          <w:rFonts w:ascii="宋体" w:hAnsi="宋体"/>
          <w:szCs w:val="21"/>
        </w:rPr>
        <w:t>1</w:t>
      </w:r>
      <w:r w:rsidRPr="004D73A7">
        <w:rPr>
          <w:rFonts w:ascii="宋体" w:hAnsi="宋体" w:hint="eastAsia"/>
          <w:szCs w:val="21"/>
        </w:rPr>
        <w:t>．《实变函数与泛函分析基础》</w:t>
      </w:r>
      <w:r w:rsidRPr="004D73A7">
        <w:rPr>
          <w:rFonts w:ascii="宋体" w:hAnsi="宋体"/>
          <w:szCs w:val="21"/>
        </w:rPr>
        <w:t>(</w:t>
      </w:r>
      <w:r w:rsidRPr="004D73A7">
        <w:rPr>
          <w:rFonts w:ascii="宋体" w:hAnsi="宋体" w:hint="eastAsia"/>
          <w:szCs w:val="21"/>
        </w:rPr>
        <w:t>第三版</w:t>
      </w:r>
      <w:r w:rsidRPr="004D73A7">
        <w:rPr>
          <w:rFonts w:ascii="宋体" w:hAnsi="宋体"/>
          <w:szCs w:val="21"/>
        </w:rPr>
        <w:t>)</w:t>
      </w:r>
      <w:r w:rsidRPr="004D73A7">
        <w:rPr>
          <w:rFonts w:ascii="宋体" w:hAnsi="宋体" w:hint="eastAsia"/>
          <w:szCs w:val="21"/>
        </w:rPr>
        <w:t>，程其襄、张奠宙、魏国强等，高等教育出版社，</w:t>
      </w:r>
      <w:r w:rsidRPr="004D73A7">
        <w:rPr>
          <w:rFonts w:ascii="宋体" w:hAnsi="宋体"/>
          <w:szCs w:val="21"/>
        </w:rPr>
        <w:t>2010</w:t>
      </w:r>
      <w:r w:rsidRPr="004D73A7">
        <w:rPr>
          <w:rFonts w:ascii="宋体" w:hAnsi="宋体" w:hint="eastAsia"/>
          <w:szCs w:val="21"/>
        </w:rPr>
        <w:t>，“十二五”普通高等教育本科国家级规划教材；</w:t>
      </w:r>
    </w:p>
    <w:p w:rsidR="004D73A7" w:rsidRPr="004D73A7" w:rsidRDefault="004D73A7" w:rsidP="004D73A7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4D73A7">
        <w:rPr>
          <w:rFonts w:ascii="宋体" w:hAnsi="宋体"/>
          <w:szCs w:val="21"/>
        </w:rPr>
        <w:t>2</w:t>
      </w:r>
      <w:r w:rsidRPr="004D73A7">
        <w:rPr>
          <w:rFonts w:ascii="宋体" w:hAnsi="宋体" w:hint="eastAsia"/>
          <w:szCs w:val="21"/>
        </w:rPr>
        <w:t>．《实变函数与泛函分析概要》</w:t>
      </w:r>
      <w:r w:rsidRPr="004D73A7">
        <w:rPr>
          <w:rFonts w:ascii="宋体" w:hAnsi="宋体"/>
          <w:szCs w:val="21"/>
        </w:rPr>
        <w:t>(</w:t>
      </w:r>
      <w:r w:rsidRPr="004D73A7">
        <w:rPr>
          <w:rFonts w:ascii="宋体" w:hAnsi="宋体" w:hint="eastAsia"/>
          <w:szCs w:val="21"/>
        </w:rPr>
        <w:t>第四版</w:t>
      </w:r>
      <w:r w:rsidRPr="004D73A7">
        <w:rPr>
          <w:rFonts w:ascii="宋体" w:hAnsi="宋体"/>
          <w:szCs w:val="21"/>
        </w:rPr>
        <w:t>)</w:t>
      </w:r>
      <w:r w:rsidRPr="004D73A7">
        <w:rPr>
          <w:rFonts w:ascii="宋体" w:hAnsi="宋体" w:hint="eastAsia"/>
          <w:szCs w:val="21"/>
        </w:rPr>
        <w:t>第二册，王声望、郑维行，高等教育出版社，</w:t>
      </w:r>
      <w:r w:rsidRPr="004D73A7">
        <w:rPr>
          <w:rFonts w:ascii="宋体" w:hAnsi="宋体"/>
          <w:szCs w:val="21"/>
        </w:rPr>
        <w:t>2010</w:t>
      </w:r>
      <w:r w:rsidRPr="004D73A7">
        <w:rPr>
          <w:rFonts w:ascii="宋体" w:hAnsi="宋体" w:hint="eastAsia"/>
          <w:szCs w:val="21"/>
        </w:rPr>
        <w:t>，普通高等教育“十一五”国家级规划教材；</w:t>
      </w:r>
    </w:p>
    <w:p w:rsidR="004D73A7" w:rsidRDefault="004D73A7" w:rsidP="004D73A7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4D73A7">
        <w:rPr>
          <w:rFonts w:ascii="宋体" w:hAnsi="宋体"/>
          <w:szCs w:val="21"/>
        </w:rPr>
        <w:t>3</w:t>
      </w:r>
      <w:r w:rsidRPr="004D73A7">
        <w:rPr>
          <w:rFonts w:ascii="宋体" w:hAnsi="宋体" w:hint="eastAsia"/>
          <w:szCs w:val="21"/>
        </w:rPr>
        <w:t>．《泛函分析》</w:t>
      </w:r>
      <w:r w:rsidRPr="004D73A7">
        <w:rPr>
          <w:rFonts w:ascii="宋体" w:hAnsi="宋体"/>
          <w:szCs w:val="21"/>
        </w:rPr>
        <w:t>(</w:t>
      </w:r>
      <w:r w:rsidRPr="004D73A7">
        <w:rPr>
          <w:rFonts w:ascii="宋体" w:hAnsi="宋体" w:hint="eastAsia"/>
          <w:szCs w:val="21"/>
        </w:rPr>
        <w:t>第二版</w:t>
      </w:r>
      <w:r w:rsidRPr="004D73A7">
        <w:rPr>
          <w:rFonts w:ascii="宋体" w:hAnsi="宋体"/>
          <w:szCs w:val="21"/>
        </w:rPr>
        <w:t>)</w:t>
      </w:r>
      <w:r w:rsidRPr="004D73A7">
        <w:rPr>
          <w:rFonts w:ascii="宋体" w:hAnsi="宋体" w:hint="eastAsia"/>
          <w:szCs w:val="21"/>
        </w:rPr>
        <w:t>，刘炳初，科学出版社，</w:t>
      </w:r>
      <w:r w:rsidRPr="004D73A7">
        <w:rPr>
          <w:rFonts w:ascii="宋体" w:hAnsi="宋体"/>
          <w:szCs w:val="21"/>
        </w:rPr>
        <w:t>2013</w:t>
      </w:r>
      <w:r w:rsidRPr="004D73A7">
        <w:rPr>
          <w:rFonts w:ascii="宋体" w:hAnsi="宋体" w:hint="eastAsia"/>
          <w:szCs w:val="21"/>
        </w:rPr>
        <w:t>，普通高等教育“十一五”国家级规划教材“十二五”普通高等教育本科国家级规划教材。</w:t>
      </w:r>
    </w:p>
    <w:sectPr w:rsidR="004D7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黑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E513F"/>
    <w:multiLevelType w:val="hybridMultilevel"/>
    <w:tmpl w:val="5D526F94"/>
    <w:lvl w:ilvl="0" w:tplc="E3EC94C2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03A91A83"/>
    <w:multiLevelType w:val="hybridMultilevel"/>
    <w:tmpl w:val="794CF392"/>
    <w:lvl w:ilvl="0" w:tplc="E3EC94C2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099C509E"/>
    <w:multiLevelType w:val="hybridMultilevel"/>
    <w:tmpl w:val="1610A46E"/>
    <w:lvl w:ilvl="0" w:tplc="E3EC94C2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0EF04A5F"/>
    <w:multiLevelType w:val="multilevel"/>
    <w:tmpl w:val="A232DA80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549"/>
        </w:tabs>
        <w:ind w:left="1549" w:hanging="420"/>
      </w:pPr>
    </w:lvl>
    <w:lvl w:ilvl="2">
      <w:start w:val="1"/>
      <w:numFmt w:val="lowerRoman"/>
      <w:lvlText w:val="%3."/>
      <w:lvlJc w:val="right"/>
      <w:pPr>
        <w:tabs>
          <w:tab w:val="num" w:pos="1969"/>
        </w:tabs>
        <w:ind w:left="1969" w:hanging="420"/>
      </w:pPr>
    </w:lvl>
    <w:lvl w:ilvl="3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>
      <w:start w:val="1"/>
      <w:numFmt w:val="lowerLetter"/>
      <w:lvlText w:val="%5)"/>
      <w:lvlJc w:val="left"/>
      <w:pPr>
        <w:tabs>
          <w:tab w:val="num" w:pos="2809"/>
        </w:tabs>
        <w:ind w:left="2809" w:hanging="420"/>
      </w:pPr>
    </w:lvl>
    <w:lvl w:ilvl="5">
      <w:start w:val="1"/>
      <w:numFmt w:val="lowerRoman"/>
      <w:lvlText w:val="%6."/>
      <w:lvlJc w:val="right"/>
      <w:pPr>
        <w:tabs>
          <w:tab w:val="num" w:pos="3229"/>
        </w:tabs>
        <w:ind w:left="3229" w:hanging="420"/>
      </w:pPr>
    </w:lvl>
    <w:lvl w:ilvl="6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>
      <w:start w:val="1"/>
      <w:numFmt w:val="lowerLetter"/>
      <w:lvlText w:val="%8)"/>
      <w:lvlJc w:val="left"/>
      <w:pPr>
        <w:tabs>
          <w:tab w:val="num" w:pos="4069"/>
        </w:tabs>
        <w:ind w:left="4069" w:hanging="420"/>
      </w:pPr>
    </w:lvl>
    <w:lvl w:ilvl="8">
      <w:start w:val="1"/>
      <w:numFmt w:val="lowerRoman"/>
      <w:lvlText w:val="%9."/>
      <w:lvlJc w:val="right"/>
      <w:pPr>
        <w:tabs>
          <w:tab w:val="num" w:pos="4489"/>
        </w:tabs>
        <w:ind w:left="4489" w:hanging="420"/>
      </w:pPr>
    </w:lvl>
  </w:abstractNum>
  <w:abstractNum w:abstractNumId="4">
    <w:nsid w:val="2FDB1520"/>
    <w:multiLevelType w:val="hybridMultilevel"/>
    <w:tmpl w:val="3BBE545C"/>
    <w:lvl w:ilvl="0" w:tplc="E3EC94C2">
      <w:start w:val="1"/>
      <w:numFmt w:val="decimal"/>
      <w:lvlText w:val="(%1)"/>
      <w:lvlJc w:val="left"/>
      <w:pPr>
        <w:ind w:left="12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5">
    <w:nsid w:val="379C24FE"/>
    <w:multiLevelType w:val="multilevel"/>
    <w:tmpl w:val="529C87B4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549"/>
        </w:tabs>
        <w:ind w:left="1549" w:hanging="420"/>
      </w:pPr>
    </w:lvl>
    <w:lvl w:ilvl="2">
      <w:start w:val="1"/>
      <w:numFmt w:val="lowerRoman"/>
      <w:lvlText w:val="%3."/>
      <w:lvlJc w:val="right"/>
      <w:pPr>
        <w:tabs>
          <w:tab w:val="num" w:pos="1969"/>
        </w:tabs>
        <w:ind w:left="1969" w:hanging="420"/>
      </w:pPr>
    </w:lvl>
    <w:lvl w:ilvl="3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>
      <w:start w:val="1"/>
      <w:numFmt w:val="lowerLetter"/>
      <w:lvlText w:val="%5)"/>
      <w:lvlJc w:val="left"/>
      <w:pPr>
        <w:tabs>
          <w:tab w:val="num" w:pos="2809"/>
        </w:tabs>
        <w:ind w:left="2809" w:hanging="420"/>
      </w:pPr>
    </w:lvl>
    <w:lvl w:ilvl="5">
      <w:start w:val="1"/>
      <w:numFmt w:val="lowerRoman"/>
      <w:lvlText w:val="%6."/>
      <w:lvlJc w:val="right"/>
      <w:pPr>
        <w:tabs>
          <w:tab w:val="num" w:pos="3229"/>
        </w:tabs>
        <w:ind w:left="3229" w:hanging="420"/>
      </w:pPr>
    </w:lvl>
    <w:lvl w:ilvl="6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>
      <w:start w:val="1"/>
      <w:numFmt w:val="lowerLetter"/>
      <w:lvlText w:val="%8)"/>
      <w:lvlJc w:val="left"/>
      <w:pPr>
        <w:tabs>
          <w:tab w:val="num" w:pos="4069"/>
        </w:tabs>
        <w:ind w:left="4069" w:hanging="420"/>
      </w:pPr>
    </w:lvl>
    <w:lvl w:ilvl="8">
      <w:start w:val="1"/>
      <w:numFmt w:val="lowerRoman"/>
      <w:lvlText w:val="%9."/>
      <w:lvlJc w:val="right"/>
      <w:pPr>
        <w:tabs>
          <w:tab w:val="num" w:pos="4489"/>
        </w:tabs>
        <w:ind w:left="4489" w:hanging="420"/>
      </w:pPr>
    </w:lvl>
  </w:abstractNum>
  <w:abstractNum w:abstractNumId="6">
    <w:nsid w:val="3AE81E74"/>
    <w:multiLevelType w:val="hybridMultilevel"/>
    <w:tmpl w:val="FE9066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B742308"/>
    <w:multiLevelType w:val="hybridMultilevel"/>
    <w:tmpl w:val="224E7F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B205081"/>
    <w:multiLevelType w:val="multilevel"/>
    <w:tmpl w:val="4B205081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B244992"/>
    <w:multiLevelType w:val="hybridMultilevel"/>
    <w:tmpl w:val="7812B7DC"/>
    <w:lvl w:ilvl="0" w:tplc="E3EC94C2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>
    <w:nsid w:val="5BB90A3D"/>
    <w:multiLevelType w:val="multilevel"/>
    <w:tmpl w:val="F51CFD4E"/>
    <w:lvl w:ilvl="0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1">
    <w:nsid w:val="5CDE054E"/>
    <w:multiLevelType w:val="hybridMultilevel"/>
    <w:tmpl w:val="79F8868A"/>
    <w:lvl w:ilvl="0" w:tplc="E3EC94C2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>
    <w:nsid w:val="6F4E57DB"/>
    <w:multiLevelType w:val="hybridMultilevel"/>
    <w:tmpl w:val="6FEC1474"/>
    <w:lvl w:ilvl="0" w:tplc="E3EC94C2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7324737F"/>
    <w:multiLevelType w:val="hybridMultilevel"/>
    <w:tmpl w:val="25B01E5A"/>
    <w:lvl w:ilvl="0" w:tplc="E3EC94C2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0"/>
  </w:num>
  <w:num w:numId="5">
    <w:abstractNumId w:val="4"/>
  </w:num>
  <w:num w:numId="6">
    <w:abstractNumId w:val="13"/>
  </w:num>
  <w:num w:numId="7">
    <w:abstractNumId w:val="11"/>
  </w:num>
  <w:num w:numId="8">
    <w:abstractNumId w:val="0"/>
  </w:num>
  <w:num w:numId="9">
    <w:abstractNumId w:val="1"/>
  </w:num>
  <w:num w:numId="10">
    <w:abstractNumId w:val="12"/>
  </w:num>
  <w:num w:numId="11">
    <w:abstractNumId w:val="2"/>
  </w:num>
  <w:num w:numId="12">
    <w:abstractNumId w:val="9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AC"/>
    <w:rsid w:val="000C1746"/>
    <w:rsid w:val="00171556"/>
    <w:rsid w:val="002863B5"/>
    <w:rsid w:val="00320418"/>
    <w:rsid w:val="00333A28"/>
    <w:rsid w:val="00342459"/>
    <w:rsid w:val="00366A53"/>
    <w:rsid w:val="003B55DB"/>
    <w:rsid w:val="00457E4F"/>
    <w:rsid w:val="004918C8"/>
    <w:rsid w:val="004D73A7"/>
    <w:rsid w:val="00500365"/>
    <w:rsid w:val="006934C6"/>
    <w:rsid w:val="007E6D59"/>
    <w:rsid w:val="008240AC"/>
    <w:rsid w:val="008A393A"/>
    <w:rsid w:val="00956CA7"/>
    <w:rsid w:val="009C5829"/>
    <w:rsid w:val="009C5E86"/>
    <w:rsid w:val="00A50B16"/>
    <w:rsid w:val="00A60E30"/>
    <w:rsid w:val="00B15C7F"/>
    <w:rsid w:val="00B529CE"/>
    <w:rsid w:val="00C77C06"/>
    <w:rsid w:val="00CB53E8"/>
    <w:rsid w:val="00CD54B6"/>
    <w:rsid w:val="00D57050"/>
    <w:rsid w:val="00D71CEC"/>
    <w:rsid w:val="00E3303F"/>
    <w:rsid w:val="00E61546"/>
    <w:rsid w:val="00E703D9"/>
    <w:rsid w:val="00E936EF"/>
    <w:rsid w:val="00F0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AC931-40B0-46DF-B26C-AD4F2F30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8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186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lwg</dc:creator>
  <cp:keywords/>
  <dc:description/>
  <cp:lastModifiedBy>wjc</cp:lastModifiedBy>
  <cp:revision>19</cp:revision>
  <dcterms:created xsi:type="dcterms:W3CDTF">2019-09-18T07:07:00Z</dcterms:created>
  <dcterms:modified xsi:type="dcterms:W3CDTF">2019-09-24T03:43:00Z</dcterms:modified>
</cp:coreProperties>
</file>